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eastAsia="黑体" w:cs="Times New Roman"/>
          <w:color w:val="auto"/>
          <w:sz w:val="32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0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0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广东省精准医学应用学会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2020年“全国科技工作者日”素材征集统计表（样式）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bookmarkStart w:id="0" w:name="_GoBack"/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联系方式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素材内容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（可多选）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《全国科技工作者日献礼——科技为民、奋斗有我》短片投身两线科技工作者素材征集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《全国科技工作者日献礼——科技为民、奋斗有我》分会科普活动素材征集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素材类型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（可多选）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□视频素材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□图片素材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素材要求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  <w:t>视频要求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：横版、分辨率1920*1080、25fps、视频格式MP4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视频另附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。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  <w:t>图片要求：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横版、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高清未裁剪原图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格式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jpg、psd、png均可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原图另附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130" w:type="dxa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素材介绍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请提供所报素材的文字介绍，字数在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字左右，说明时间、地点、人物（具体到单位、职务职称）、事件、效果等。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注：请于2020年5月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日前完成此表，连同相关素材一起发送至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学会宣传部邮箱（yangfang@gdpmaa.com），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联系人：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杨芳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（0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0-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87001157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13609031427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>姚茵璇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（15902053162）。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_GB2312" w:cs="Times New Roman"/>
          <w:color w:val="auto"/>
          <w:sz w:val="2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28"/>
          <w:szCs w:val="28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1417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C6375"/>
    <w:rsid w:val="006141D0"/>
    <w:rsid w:val="05D716CF"/>
    <w:rsid w:val="0B3E5F39"/>
    <w:rsid w:val="0B94421E"/>
    <w:rsid w:val="12CF6E58"/>
    <w:rsid w:val="14BD5E1D"/>
    <w:rsid w:val="18A65224"/>
    <w:rsid w:val="198B0D02"/>
    <w:rsid w:val="1DB12991"/>
    <w:rsid w:val="1FD71895"/>
    <w:rsid w:val="204B6E06"/>
    <w:rsid w:val="22D81EEA"/>
    <w:rsid w:val="234A375B"/>
    <w:rsid w:val="23EF6886"/>
    <w:rsid w:val="24ED5D64"/>
    <w:rsid w:val="26105951"/>
    <w:rsid w:val="2813506B"/>
    <w:rsid w:val="2B8E6423"/>
    <w:rsid w:val="2E0737A4"/>
    <w:rsid w:val="2E2E4550"/>
    <w:rsid w:val="32554AD0"/>
    <w:rsid w:val="330339E8"/>
    <w:rsid w:val="345E5645"/>
    <w:rsid w:val="35F9401E"/>
    <w:rsid w:val="3607374E"/>
    <w:rsid w:val="3749622D"/>
    <w:rsid w:val="38F501ED"/>
    <w:rsid w:val="3ADD644F"/>
    <w:rsid w:val="3EAC6375"/>
    <w:rsid w:val="4074436A"/>
    <w:rsid w:val="44CB7D61"/>
    <w:rsid w:val="46B2661A"/>
    <w:rsid w:val="49A14D44"/>
    <w:rsid w:val="4AB657B2"/>
    <w:rsid w:val="4D1D62E5"/>
    <w:rsid w:val="52984EAA"/>
    <w:rsid w:val="52C12E89"/>
    <w:rsid w:val="52F275DA"/>
    <w:rsid w:val="594129E6"/>
    <w:rsid w:val="5BD020DE"/>
    <w:rsid w:val="617D1CEF"/>
    <w:rsid w:val="62234EF9"/>
    <w:rsid w:val="63873685"/>
    <w:rsid w:val="67716E10"/>
    <w:rsid w:val="6A4D70AC"/>
    <w:rsid w:val="6BCC4188"/>
    <w:rsid w:val="6DB645E8"/>
    <w:rsid w:val="6DBF7CAA"/>
    <w:rsid w:val="708C5485"/>
    <w:rsid w:val="739B323D"/>
    <w:rsid w:val="73F03B0E"/>
    <w:rsid w:val="75B72BCA"/>
    <w:rsid w:val="77631315"/>
    <w:rsid w:val="7E1166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ind w:firstLine="720" w:firstLineChars="225"/>
    </w:pPr>
    <w:rPr>
      <w:rFonts w:ascii="仿宋_GB2312" w:hAnsi="Times New Roman" w:eastAsia="仿宋_GB2312" w:cs="Times New Roman"/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style01"/>
    <w:basedOn w:val="10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2020-05-06T02:22:00Z</dcterms:created>
  <dc:creator>Miga</dc:creator>
  <cp:lastModifiedBy>sleepyEureka</cp:lastModifiedBy>
  <dcterms:modified xsi:type="dcterms:W3CDTF">2020-05-18T03:10:20Z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