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napToGrid w:val="0"/>
        <w:spacing w:line="572" w:lineRule="exact"/>
        <w:jc w:val="center"/>
        <w:rPr>
          <w:rFonts w:hint="eastAsia" w:ascii="Times New Roman" w:hAnsi="Times New Roman" w:eastAsia="方正小标宋简体" w:cs="Times New Roman"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</w:rPr>
        <w:t>广东省科协精准医学学会企业联合体</w:t>
      </w:r>
    </w:p>
    <w:p>
      <w:pPr>
        <w:snapToGrid w:val="0"/>
        <w:spacing w:line="572" w:lineRule="exact"/>
        <w:jc w:val="center"/>
        <w:rPr>
          <w:rFonts w:ascii="方正小标宋简体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</w:rPr>
        <w:t>社团名单</w:t>
      </w:r>
      <w:bookmarkStart w:id="0" w:name="_GoBack"/>
      <w:bookmarkEnd w:id="0"/>
    </w:p>
    <w:p>
      <w:pPr>
        <w:snapToGrid w:val="0"/>
        <w:spacing w:line="572" w:lineRule="exact"/>
        <w:jc w:val="center"/>
        <w:rPr>
          <w:rFonts w:hint="eastAsia" w:ascii="方正小标宋简体" w:eastAsia="方正小标宋简体" w:cs="Times New Roman"/>
          <w:sz w:val="40"/>
          <w:szCs w:val="32"/>
        </w:rPr>
      </w:pPr>
    </w:p>
    <w:tbl>
      <w:tblPr>
        <w:tblStyle w:val="2"/>
        <w:tblW w:w="9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广东省精准医学应用学会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广东省妇幼保健协会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广东省药理学会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广东省质量协会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广东省健康中国研究会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广东科技新闻工作者协会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广东省知识产权研究会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广东省计算机学会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广东省机械工程学会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广东省预防医学会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广东省视光学学会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广东省心理卫生协会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广东省眼健康协会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广东省食品药品审评认证技术协会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广东省科学技术实验室联合会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广东国际科技合作协会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广东省档案学会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广东省高性能计算学会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广东省医院协会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广东省中医药学会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广东省光学学会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广东省机械行业协会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广东省测量控制技术与装备应用促进会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广东省大数据协会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广东省机器人协会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广东省护理学会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广东省自动化学会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广东省医师协会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广东省产业园区协会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2" w:lineRule="exact"/>
              <w:jc w:val="left"/>
              <w:textAlignment w:val="auto"/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32"/>
                <w:szCs w:val="32"/>
              </w:rPr>
              <w:t>广东省卫生经济学会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D771E"/>
    <w:rsid w:val="36AF528D"/>
    <w:rsid w:val="514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 (正文 CS 字体)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2020-06-09T09:43:00Z</dcterms:created>
  <dc:creator>sleepyEureka</dc:creator>
  <cp:lastModifiedBy>sleepyEureka</cp:lastModifiedBy>
  <dcterms:modified xsi:type="dcterms:W3CDTF">2020-06-09T09:43:44Z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